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CA" w:rsidRPr="005B1DCA" w:rsidRDefault="005B1DCA" w:rsidP="004E58CF">
      <w:pPr>
        <w:widowControl w:val="0"/>
        <w:spacing w:line="240" w:lineRule="auto"/>
        <w:ind w:right="-20"/>
        <w:jc w:val="center"/>
        <w:rPr>
          <w:rFonts w:ascii="Muller Light" w:eastAsia="Century Gothic" w:hAnsi="Muller Light" w:cs="Century Gothic"/>
          <w:b/>
          <w:sz w:val="24"/>
          <w:szCs w:val="24"/>
        </w:rPr>
      </w:pPr>
      <w:r w:rsidRPr="005B1DCA">
        <w:rPr>
          <w:rFonts w:ascii="Muller Light" w:eastAsia="Century Gothic" w:hAnsi="Muller Light" w:cs="Century Gothic"/>
          <w:b/>
          <w:sz w:val="24"/>
          <w:szCs w:val="24"/>
        </w:rPr>
        <w:t>Информация о способах,</w:t>
      </w:r>
      <w:r w:rsidRPr="005B1DCA">
        <w:rPr>
          <w:rFonts w:ascii="Muller Light" w:eastAsia="Century Gothic" w:hAnsi="Muller Light" w:cs="Century Gothic"/>
          <w:b/>
          <w:sz w:val="24"/>
          <w:szCs w:val="24"/>
        </w:rPr>
        <w:br/>
        <w:t>которые могут быть использованы клиентом АО «ТРИНФИКО»</w:t>
      </w:r>
      <w:r w:rsidRPr="005B1DCA">
        <w:rPr>
          <w:rFonts w:ascii="Muller Light" w:eastAsia="Century Gothic" w:hAnsi="Muller Light" w:cs="Century Gothic"/>
          <w:b/>
          <w:sz w:val="24"/>
          <w:szCs w:val="24"/>
        </w:rPr>
        <w:br/>
        <w:t>для направления обращений (жалоб)</w:t>
      </w:r>
    </w:p>
    <w:p w:rsidR="005B1DCA" w:rsidRDefault="005B1DCA" w:rsidP="004E58CF">
      <w:pPr>
        <w:widowControl w:val="0"/>
        <w:spacing w:line="240" w:lineRule="auto"/>
        <w:ind w:right="-20"/>
        <w:rPr>
          <w:rFonts w:ascii="Muller Light" w:eastAsia="Century Gothic" w:hAnsi="Muller Light" w:cs="Century Gothic"/>
          <w:sz w:val="24"/>
          <w:szCs w:val="24"/>
        </w:rPr>
      </w:pPr>
    </w:p>
    <w:p w:rsidR="00901AA2" w:rsidRPr="005B1DCA" w:rsidRDefault="00933BD9" w:rsidP="00B45532">
      <w:pPr>
        <w:widowControl w:val="0"/>
        <w:tabs>
          <w:tab w:val="left" w:pos="426"/>
        </w:tabs>
        <w:spacing w:line="240" w:lineRule="auto"/>
        <w:ind w:right="-23"/>
        <w:jc w:val="both"/>
        <w:rPr>
          <w:rFonts w:ascii="Muller Light" w:eastAsia="Century Gothic" w:hAnsi="Muller Light" w:cs="Century Gothic"/>
          <w:sz w:val="24"/>
          <w:szCs w:val="24"/>
        </w:rPr>
      </w:pPr>
      <w:r>
        <w:rPr>
          <w:rFonts w:ascii="Muller Light" w:eastAsia="Century Gothic" w:hAnsi="Muller Light" w:cs="Century Gothic"/>
          <w:sz w:val="24"/>
          <w:szCs w:val="24"/>
        </w:rPr>
        <w:tab/>
      </w:r>
      <w:r w:rsidR="00901AA2">
        <w:rPr>
          <w:rFonts w:ascii="Muller Light" w:eastAsia="Century Gothic" w:hAnsi="Muller Light" w:cs="Century Gothic"/>
          <w:sz w:val="24"/>
          <w:szCs w:val="24"/>
        </w:rPr>
        <w:t>Для направления Обращений (Жалоб) в адрес АО «ТРИНФИКО» Клиенты,</w:t>
      </w:r>
      <w:r w:rsidR="002C58AC">
        <w:rPr>
          <w:rFonts w:ascii="Muller Light" w:eastAsia="Century Gothic" w:hAnsi="Muller Light" w:cs="Century Gothic"/>
          <w:sz w:val="24"/>
          <w:szCs w:val="24"/>
        </w:rPr>
        <w:t xml:space="preserve"> </w:t>
      </w:r>
      <w:r w:rsidR="00901AA2">
        <w:rPr>
          <w:rFonts w:ascii="Muller Light" w:eastAsia="Century Gothic" w:hAnsi="Muller Light" w:cs="Century Gothic"/>
          <w:sz w:val="24"/>
          <w:szCs w:val="24"/>
        </w:rPr>
        <w:t>по своему усмотрению, могут воспользоваться одним из следующих способов:</w:t>
      </w:r>
    </w:p>
    <w:p w:rsidR="00901AA2" w:rsidRDefault="00901AA2" w:rsidP="0072039C">
      <w:pPr>
        <w:widowControl w:val="0"/>
        <w:spacing w:line="240" w:lineRule="auto"/>
        <w:ind w:left="720" w:right="-23" w:hanging="357"/>
        <w:jc w:val="both"/>
        <w:rPr>
          <w:rFonts w:ascii="Muller Light" w:eastAsia="Symbol" w:hAnsi="Muller Light" w:cs="Symbol"/>
          <w:w w:val="99"/>
          <w:sz w:val="24"/>
          <w:szCs w:val="24"/>
        </w:rPr>
      </w:pPr>
    </w:p>
    <w:p w:rsidR="002C58AC" w:rsidRPr="00933BD9" w:rsidRDefault="002C58AC" w:rsidP="00B45532">
      <w:pPr>
        <w:pStyle w:val="a3"/>
        <w:widowControl w:val="0"/>
        <w:numPr>
          <w:ilvl w:val="0"/>
          <w:numId w:val="2"/>
        </w:numPr>
        <w:spacing w:after="120" w:line="240" w:lineRule="auto"/>
        <w:ind w:left="568" w:right="-23" w:hanging="284"/>
        <w:contextualSpacing w:val="0"/>
        <w:jc w:val="both"/>
        <w:rPr>
          <w:rFonts w:ascii="Muller Light" w:eastAsia="Symbol" w:hAnsi="Muller Light" w:cs="Symbol"/>
          <w:sz w:val="24"/>
          <w:szCs w:val="24"/>
        </w:rPr>
      </w:pPr>
      <w:r w:rsidRPr="00933BD9">
        <w:rPr>
          <w:rFonts w:ascii="Muller Light" w:eastAsia="Symbol" w:hAnsi="Muller Light" w:cs="Symbol"/>
          <w:sz w:val="24"/>
          <w:szCs w:val="24"/>
        </w:rPr>
        <w:t xml:space="preserve">передача оригинала </w:t>
      </w:r>
      <w:r w:rsidR="00E7285A" w:rsidRPr="00933BD9">
        <w:rPr>
          <w:rFonts w:ascii="Muller Light" w:eastAsia="Symbol" w:hAnsi="Muller Light" w:cs="Symbol"/>
          <w:sz w:val="24"/>
          <w:szCs w:val="24"/>
        </w:rPr>
        <w:t>о</w:t>
      </w:r>
      <w:r w:rsidRPr="00933BD9">
        <w:rPr>
          <w:rFonts w:ascii="Muller Light" w:eastAsia="Symbol" w:hAnsi="Muller Light" w:cs="Symbol"/>
          <w:sz w:val="24"/>
          <w:szCs w:val="24"/>
        </w:rPr>
        <w:t>бращения (</w:t>
      </w:r>
      <w:r w:rsidR="00E7285A" w:rsidRPr="00933BD9">
        <w:rPr>
          <w:rFonts w:ascii="Muller Light" w:eastAsia="Symbol" w:hAnsi="Muller Light" w:cs="Symbol"/>
          <w:sz w:val="24"/>
          <w:szCs w:val="24"/>
        </w:rPr>
        <w:t>ж</w:t>
      </w:r>
      <w:r w:rsidRPr="00933BD9">
        <w:rPr>
          <w:rFonts w:ascii="Muller Light" w:eastAsia="Symbol" w:hAnsi="Muller Light" w:cs="Symbol"/>
          <w:sz w:val="24"/>
          <w:szCs w:val="24"/>
        </w:rPr>
        <w:t>алобы) непосредственно по адресу местонахождения офиса АО «ТРИНФИКО»</w:t>
      </w:r>
    </w:p>
    <w:p w:rsidR="002C58AC" w:rsidRPr="00933BD9" w:rsidRDefault="002C58AC" w:rsidP="00B45532">
      <w:pPr>
        <w:pStyle w:val="a3"/>
        <w:widowControl w:val="0"/>
        <w:numPr>
          <w:ilvl w:val="0"/>
          <w:numId w:val="2"/>
        </w:numPr>
        <w:spacing w:after="120" w:line="240" w:lineRule="auto"/>
        <w:ind w:left="568" w:right="-23" w:hanging="284"/>
        <w:contextualSpacing w:val="0"/>
        <w:jc w:val="both"/>
        <w:rPr>
          <w:rFonts w:ascii="Muller Light" w:eastAsia="Symbol" w:hAnsi="Muller Light" w:cs="Symbol"/>
          <w:sz w:val="24"/>
          <w:szCs w:val="24"/>
        </w:rPr>
      </w:pPr>
      <w:r w:rsidRPr="00933BD9">
        <w:rPr>
          <w:rFonts w:ascii="Muller Light" w:eastAsia="Symbol" w:hAnsi="Muller Light" w:cs="Symbol"/>
          <w:sz w:val="24"/>
          <w:szCs w:val="24"/>
        </w:rPr>
        <w:t xml:space="preserve">направление оригинала </w:t>
      </w:r>
      <w:r w:rsidR="00E7285A" w:rsidRPr="00933BD9">
        <w:rPr>
          <w:rFonts w:ascii="Muller Light" w:eastAsia="Symbol" w:hAnsi="Muller Light" w:cs="Symbol"/>
          <w:sz w:val="24"/>
          <w:szCs w:val="24"/>
        </w:rPr>
        <w:t>о</w:t>
      </w:r>
      <w:r w:rsidRPr="00933BD9">
        <w:rPr>
          <w:rFonts w:ascii="Muller Light" w:eastAsia="Symbol" w:hAnsi="Muller Light" w:cs="Symbol"/>
          <w:sz w:val="24"/>
          <w:szCs w:val="24"/>
        </w:rPr>
        <w:t>бращения (</w:t>
      </w:r>
      <w:r w:rsidR="00E7285A" w:rsidRPr="00933BD9">
        <w:rPr>
          <w:rFonts w:ascii="Muller Light" w:eastAsia="Symbol" w:hAnsi="Muller Light" w:cs="Symbol"/>
          <w:sz w:val="24"/>
          <w:szCs w:val="24"/>
        </w:rPr>
        <w:t>ж</w:t>
      </w:r>
      <w:r w:rsidRPr="00933BD9">
        <w:rPr>
          <w:rFonts w:ascii="Muller Light" w:eastAsia="Symbol" w:hAnsi="Muller Light" w:cs="Symbol"/>
          <w:sz w:val="24"/>
          <w:szCs w:val="24"/>
        </w:rPr>
        <w:t>алобы) письмом по почте по адресу местонахождения офиса АО «ТРИНФИКО»</w:t>
      </w:r>
    </w:p>
    <w:p w:rsidR="00E7285A" w:rsidRDefault="00E7285A" w:rsidP="00B45532">
      <w:pPr>
        <w:pStyle w:val="a3"/>
        <w:widowControl w:val="0"/>
        <w:numPr>
          <w:ilvl w:val="0"/>
          <w:numId w:val="2"/>
        </w:numPr>
        <w:spacing w:after="120" w:line="240" w:lineRule="auto"/>
        <w:ind w:left="568" w:right="-23" w:hanging="284"/>
        <w:contextualSpacing w:val="0"/>
        <w:jc w:val="both"/>
        <w:rPr>
          <w:rFonts w:ascii="Muller Light" w:eastAsia="Symbol" w:hAnsi="Muller Light" w:cs="Symbol"/>
          <w:sz w:val="24"/>
          <w:szCs w:val="24"/>
        </w:rPr>
      </w:pPr>
      <w:r w:rsidRPr="00933BD9">
        <w:rPr>
          <w:rFonts w:ascii="Muller Light" w:eastAsia="Symbol" w:hAnsi="Muller Light" w:cs="Symbol"/>
          <w:sz w:val="24"/>
          <w:szCs w:val="24"/>
        </w:rPr>
        <w:t xml:space="preserve">направление обращения (жалобы) </w:t>
      </w:r>
      <w:r w:rsidR="007533D9">
        <w:rPr>
          <w:rFonts w:ascii="Muller Light" w:eastAsia="Symbol" w:hAnsi="Muller Light" w:cs="Symbol"/>
          <w:sz w:val="24"/>
          <w:szCs w:val="24"/>
        </w:rPr>
        <w:t xml:space="preserve">по адресу корпоративной электронной почты </w:t>
      </w:r>
      <w:r w:rsidRPr="00933BD9">
        <w:rPr>
          <w:rFonts w:ascii="Muller Light" w:eastAsia="Symbol" w:hAnsi="Muller Light" w:cs="Symbol"/>
          <w:sz w:val="24"/>
          <w:szCs w:val="24"/>
        </w:rPr>
        <w:t>АО «ТРИНФИКО»</w:t>
      </w:r>
    </w:p>
    <w:p w:rsidR="007533D9" w:rsidRPr="007533D9" w:rsidRDefault="007533D9" w:rsidP="007533D9">
      <w:pPr>
        <w:pStyle w:val="a3"/>
        <w:widowControl w:val="0"/>
        <w:numPr>
          <w:ilvl w:val="0"/>
          <w:numId w:val="2"/>
        </w:numPr>
        <w:spacing w:after="120" w:line="240" w:lineRule="auto"/>
        <w:ind w:left="568" w:right="-23" w:hanging="284"/>
        <w:contextualSpacing w:val="0"/>
        <w:jc w:val="both"/>
        <w:rPr>
          <w:rFonts w:ascii="Muller Light" w:eastAsia="Symbol" w:hAnsi="Muller Light" w:cs="Symbol"/>
          <w:sz w:val="24"/>
          <w:szCs w:val="24"/>
        </w:rPr>
      </w:pPr>
      <w:r w:rsidRPr="00933BD9">
        <w:rPr>
          <w:rFonts w:ascii="Muller Light" w:eastAsia="Symbol" w:hAnsi="Muller Light" w:cs="Symbol"/>
          <w:sz w:val="24"/>
          <w:szCs w:val="24"/>
        </w:rPr>
        <w:t>направление обращения (жалобы) через личный кабинет клиента на сайте АО «ТРИНФИКО»</w:t>
      </w:r>
    </w:p>
    <w:p w:rsidR="003C4A96" w:rsidRPr="00BF1A23" w:rsidRDefault="003C4A96" w:rsidP="00B45532">
      <w:pPr>
        <w:pStyle w:val="a3"/>
        <w:widowControl w:val="0"/>
        <w:numPr>
          <w:ilvl w:val="0"/>
          <w:numId w:val="2"/>
        </w:numPr>
        <w:spacing w:after="120" w:line="240" w:lineRule="auto"/>
        <w:ind w:left="567" w:right="-23" w:hanging="283"/>
        <w:jc w:val="both"/>
        <w:rPr>
          <w:rFonts w:ascii="Muller Light" w:eastAsia="Symbol" w:hAnsi="Muller Light" w:cs="Symbol"/>
          <w:sz w:val="24"/>
          <w:szCs w:val="24"/>
        </w:rPr>
      </w:pPr>
      <w:r w:rsidRPr="00BF1A23">
        <w:rPr>
          <w:rFonts w:ascii="Muller Light" w:eastAsia="Symbol" w:hAnsi="Muller Light" w:cs="Symbol"/>
          <w:sz w:val="24"/>
          <w:szCs w:val="24"/>
        </w:rPr>
        <w:t>направление обращения (жалобы) через интерфейс для подачи обращений</w:t>
      </w:r>
      <w:r w:rsidRPr="00933BD9">
        <w:rPr>
          <w:rFonts w:ascii="Muller Light" w:eastAsia="Symbol" w:hAnsi="Muller Light" w:cs="Symbol"/>
          <w:sz w:val="24"/>
          <w:szCs w:val="24"/>
        </w:rPr>
        <w:t xml:space="preserve"> </w:t>
      </w:r>
      <w:r w:rsidRPr="00BF1A23">
        <w:rPr>
          <w:rFonts w:ascii="Muller Light" w:eastAsia="Symbol" w:hAnsi="Muller Light" w:cs="Symbol"/>
          <w:sz w:val="24"/>
          <w:szCs w:val="24"/>
        </w:rPr>
        <w:t>на сайте АО «ТРИНФИКО»</w:t>
      </w:r>
    </w:p>
    <w:p w:rsidR="004E58CF" w:rsidRPr="005B1DCA" w:rsidRDefault="00933BD9" w:rsidP="00B45532">
      <w:pPr>
        <w:tabs>
          <w:tab w:val="left" w:pos="426"/>
        </w:tabs>
        <w:spacing w:line="240" w:lineRule="auto"/>
        <w:ind w:right="-23"/>
        <w:jc w:val="both"/>
        <w:rPr>
          <w:rFonts w:ascii="Muller Light" w:hAnsi="Muller Light"/>
          <w:sz w:val="24"/>
          <w:szCs w:val="24"/>
        </w:rPr>
      </w:pPr>
      <w:r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ab/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АО</w:t>
      </w:r>
      <w:r w:rsidR="004E58CF" w:rsidRPr="00BF1A23">
        <w:rPr>
          <w:rFonts w:ascii="Muller Light" w:eastAsia="HPWFI+___WRD_EMBED_SUB_272" w:hAnsi="Muller Light" w:cs="HPWFI+___WRD_EMBED_SUB_272"/>
          <w:spacing w:val="59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«ТРИНФИКО»</w:t>
      </w:r>
      <w:r w:rsidR="004E58CF" w:rsidRPr="00BF1A23">
        <w:rPr>
          <w:rFonts w:ascii="Muller Light" w:eastAsia="HPWFI+___WRD_EMBED_SUB_272" w:hAnsi="Muller Light" w:cs="HPWFI+___WRD_EMBED_SUB_272"/>
          <w:spacing w:val="60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ос</w:t>
      </w:r>
      <w:r w:rsidR="004E58CF" w:rsidRPr="00BF1A23">
        <w:rPr>
          <w:rFonts w:ascii="Muller Light" w:eastAsia="HPWFI+___WRD_EMBED_SUB_272" w:hAnsi="Muller Light" w:cs="HPWFI+___WRD_EMBED_SUB_272"/>
          <w:spacing w:val="1"/>
          <w:w w:val="99"/>
          <w:sz w:val="24"/>
          <w:szCs w:val="24"/>
        </w:rPr>
        <w:t>т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авляет</w:t>
      </w:r>
      <w:r w:rsidR="004E58CF" w:rsidRPr="00BF1A23">
        <w:rPr>
          <w:rFonts w:ascii="Muller Light" w:eastAsia="HPWFI+___WRD_EMBED_SUB_272" w:hAnsi="Muller Light" w:cs="HPWFI+___WRD_EMBED_SUB_272"/>
          <w:spacing w:val="62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за</w:t>
      </w:r>
      <w:r w:rsidR="004E58CF" w:rsidRPr="00BF1A23">
        <w:rPr>
          <w:rFonts w:ascii="Muller Light" w:eastAsia="HPWFI+___WRD_EMBED_SUB_272" w:hAnsi="Muller Light" w:cs="HPWFI+___WRD_EMBED_SUB_272"/>
          <w:spacing w:val="59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собой</w:t>
      </w:r>
      <w:r w:rsidR="004E58CF" w:rsidRPr="00BF1A23">
        <w:rPr>
          <w:rFonts w:ascii="Muller Light" w:eastAsia="HPWFI+___WRD_EMBED_SUB_272" w:hAnsi="Muller Light" w:cs="HPWFI+___WRD_EMBED_SUB_272"/>
          <w:spacing w:val="60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право</w:t>
      </w:r>
      <w:r w:rsidR="004E58CF" w:rsidRPr="00BF1A23">
        <w:rPr>
          <w:rFonts w:ascii="Muller Light" w:eastAsia="HPWFI+___WRD_EMBED_SUB_272" w:hAnsi="Muller Light" w:cs="HPWFI+___WRD_EMBED_SUB_272"/>
          <w:spacing w:val="59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приним</w:t>
      </w:r>
      <w:r w:rsidR="004E58CF" w:rsidRPr="00BF1A23">
        <w:rPr>
          <w:rFonts w:ascii="Muller Light" w:eastAsia="HPWFI+___WRD_EMBED_SUB_272" w:hAnsi="Muller Light" w:cs="HPWFI+___WRD_EMBED_SUB_272"/>
          <w:spacing w:val="-1"/>
          <w:w w:val="99"/>
          <w:sz w:val="24"/>
          <w:szCs w:val="24"/>
        </w:rPr>
        <w:t>а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ть</w:t>
      </w:r>
      <w:r w:rsidR="004E58CF" w:rsidRPr="00BF1A23">
        <w:rPr>
          <w:rFonts w:ascii="Muller Light" w:eastAsia="HPWFI+___WRD_EMBED_SUB_272" w:hAnsi="Muller Light" w:cs="HPWFI+___WRD_EMBED_SUB_272"/>
          <w:spacing w:val="58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к</w:t>
      </w:r>
      <w:r w:rsidR="004E58CF" w:rsidRPr="00BF1A23">
        <w:rPr>
          <w:rFonts w:ascii="Muller Light" w:eastAsia="HPWFI+___WRD_EMBED_SUB_272" w:hAnsi="Muller Light" w:cs="HPWFI+___WRD_EMBED_SUB_272"/>
          <w:spacing w:val="60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рассмотрению обращения (жалобы),</w:t>
      </w:r>
      <w:r w:rsidR="004E58CF" w:rsidRPr="00BF1A23">
        <w:rPr>
          <w:rFonts w:ascii="Muller Light" w:eastAsia="HPWFI+___WRD_EMBED_SUB_272" w:hAnsi="Muller Light" w:cs="HPWFI+___WRD_EMBED_SUB_272"/>
          <w:spacing w:val="58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поданные</w:t>
      </w:r>
      <w:r w:rsidR="004E58CF" w:rsidRPr="00BF1A23">
        <w:rPr>
          <w:rFonts w:ascii="Muller Light" w:eastAsia="HPWFI+___WRD_EMBED_SUB_272" w:hAnsi="Muller Light" w:cs="HPWFI+___WRD_EMBED_SUB_272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способами,</w:t>
      </w:r>
      <w:r w:rsidR="004E58CF" w:rsidRPr="00BF1A23">
        <w:rPr>
          <w:rFonts w:ascii="Muller Light" w:eastAsia="HPWFI+___WRD_EMBED_SUB_272" w:hAnsi="Muller Light" w:cs="HPWFI+___WRD_EMBED_SUB_272"/>
          <w:spacing w:val="94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не пр</w:t>
      </w:r>
      <w:r w:rsidR="004E58CF" w:rsidRPr="00BF1A23">
        <w:rPr>
          <w:rFonts w:ascii="Muller Light" w:eastAsia="HPWFI+___WRD_EMBED_SUB_272" w:hAnsi="Muller Light" w:cs="HPWFI+___WRD_EMBED_SUB_272"/>
          <w:spacing w:val="-1"/>
          <w:w w:val="99"/>
          <w:sz w:val="24"/>
          <w:szCs w:val="24"/>
        </w:rPr>
        <w:t>е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дусмотр</w:t>
      </w:r>
      <w:r w:rsidR="004E58CF" w:rsidRPr="00BF1A23">
        <w:rPr>
          <w:rFonts w:ascii="Muller Light" w:eastAsia="HPWFI+___WRD_EMBED_SUB_272" w:hAnsi="Muller Light" w:cs="HPWFI+___WRD_EMBED_SUB_272"/>
          <w:spacing w:val="-1"/>
          <w:w w:val="99"/>
          <w:sz w:val="24"/>
          <w:szCs w:val="24"/>
        </w:rPr>
        <w:t>е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нными</w:t>
      </w:r>
      <w:r w:rsidR="004E58CF" w:rsidRPr="00BF1A23">
        <w:rPr>
          <w:rFonts w:ascii="Muller Light" w:eastAsia="HPWFI+___WRD_EMBED_SUB_272" w:hAnsi="Muller Light" w:cs="HPWFI+___WRD_EMBED_SUB_272"/>
          <w:spacing w:val="91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выше,</w:t>
      </w:r>
      <w:r w:rsidR="004E58CF" w:rsidRPr="00BF1A23">
        <w:rPr>
          <w:rFonts w:ascii="Muller Light" w:eastAsia="HPWFI+___WRD_EMBED_SUB_272" w:hAnsi="Muller Light" w:cs="HPWFI+___WRD_EMBED_SUB_272"/>
          <w:spacing w:val="92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в</w:t>
      </w:r>
      <w:r w:rsidR="004E58CF" w:rsidRPr="00BF1A23">
        <w:rPr>
          <w:rFonts w:ascii="Muller Light" w:eastAsia="HPWFI+___WRD_EMBED_SUB_272" w:hAnsi="Muller Light" w:cs="HPWFI+___WRD_EMBED_SUB_272"/>
          <w:spacing w:val="92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том</w:t>
      </w:r>
      <w:r w:rsidR="004E58CF" w:rsidRPr="00BF1A23">
        <w:rPr>
          <w:rFonts w:ascii="Muller Light" w:eastAsia="HPWFI+___WRD_EMBED_SUB_272" w:hAnsi="Muller Light" w:cs="HPWFI+___WRD_EMBED_SUB_272"/>
          <w:spacing w:val="92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числе</w:t>
      </w:r>
      <w:r w:rsidR="004E58CF" w:rsidRPr="00BF1A23">
        <w:rPr>
          <w:rFonts w:ascii="Muller Light" w:eastAsia="HPWFI+___WRD_EMBED_SUB_272" w:hAnsi="Muller Light" w:cs="HPWFI+___WRD_EMBED_SUB_272"/>
          <w:spacing w:val="90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в</w:t>
      </w:r>
      <w:r w:rsidR="004E58CF" w:rsidRPr="00BF1A23">
        <w:rPr>
          <w:rFonts w:ascii="Muller Light" w:eastAsia="HPWFI+___WRD_EMBED_SUB_272" w:hAnsi="Muller Light" w:cs="HPWFI+___WRD_EMBED_SUB_272"/>
          <w:spacing w:val="92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устной</w:t>
      </w:r>
      <w:r w:rsidR="004E58CF" w:rsidRPr="00BF1A23">
        <w:rPr>
          <w:rFonts w:ascii="Muller Light" w:eastAsia="HPWFI+___WRD_EMBED_SUB_272" w:hAnsi="Muller Light" w:cs="HPWFI+___WRD_EMBED_SUB_272"/>
          <w:spacing w:val="92"/>
          <w:sz w:val="24"/>
          <w:szCs w:val="24"/>
        </w:rPr>
        <w:t xml:space="preserve"> 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ф</w:t>
      </w:r>
      <w:r w:rsidR="004E58CF" w:rsidRPr="00BF1A23">
        <w:rPr>
          <w:rFonts w:ascii="Muller Light" w:eastAsia="HPWFI+___WRD_EMBED_SUB_272" w:hAnsi="Muller Light" w:cs="HPWFI+___WRD_EMBED_SUB_272"/>
          <w:spacing w:val="-1"/>
          <w:w w:val="99"/>
          <w:sz w:val="24"/>
          <w:szCs w:val="24"/>
        </w:rPr>
        <w:t>о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рм</w:t>
      </w:r>
      <w:r w:rsidR="004E58CF" w:rsidRPr="00BF1A23">
        <w:rPr>
          <w:rFonts w:ascii="Muller Light" w:eastAsia="HPWFI+___WRD_EMBED_SUB_272" w:hAnsi="Muller Light" w:cs="HPWFI+___WRD_EMBED_SUB_272"/>
          <w:spacing w:val="-1"/>
          <w:w w:val="99"/>
          <w:sz w:val="24"/>
          <w:szCs w:val="24"/>
        </w:rPr>
        <w:t>е</w:t>
      </w:r>
      <w:r w:rsidR="004E58CF" w:rsidRPr="00BF1A23">
        <w:rPr>
          <w:rFonts w:ascii="Muller Light" w:eastAsia="HPWFI+___WRD_EMBED_SUB_272" w:hAnsi="Muller Light" w:cs="HPWFI+___WRD_EMBED_SUB_272"/>
          <w:w w:val="99"/>
          <w:sz w:val="24"/>
          <w:szCs w:val="24"/>
        </w:rPr>
        <w:t>.</w:t>
      </w:r>
    </w:p>
    <w:p w:rsidR="004E58CF" w:rsidRDefault="004E58CF" w:rsidP="00B45532">
      <w:pPr>
        <w:widowControl w:val="0"/>
        <w:tabs>
          <w:tab w:val="left" w:pos="721"/>
        </w:tabs>
        <w:spacing w:after="120" w:line="240" w:lineRule="auto"/>
        <w:ind w:left="360" w:right="-23"/>
        <w:rPr>
          <w:rFonts w:ascii="Muller Light" w:eastAsia="Symbol" w:hAnsi="Muller Light" w:cs="Symbol"/>
          <w:w w:val="99"/>
          <w:sz w:val="24"/>
          <w:szCs w:val="24"/>
        </w:rPr>
      </w:pPr>
    </w:p>
    <w:p w:rsidR="004E58CF" w:rsidRDefault="004E58CF" w:rsidP="00B45532">
      <w:pPr>
        <w:widowControl w:val="0"/>
        <w:tabs>
          <w:tab w:val="left" w:pos="721"/>
        </w:tabs>
        <w:spacing w:after="120" w:line="240" w:lineRule="auto"/>
        <w:ind w:right="-23"/>
        <w:jc w:val="both"/>
        <w:rPr>
          <w:rFonts w:ascii="Muller Light" w:eastAsia="Symbol" w:hAnsi="Muller Light" w:cs="Symbol"/>
          <w:w w:val="99"/>
          <w:sz w:val="24"/>
          <w:szCs w:val="24"/>
        </w:rPr>
      </w:pPr>
    </w:p>
    <w:p w:rsidR="00933BD9" w:rsidRDefault="00933BD9" w:rsidP="00B45532">
      <w:pPr>
        <w:tabs>
          <w:tab w:val="left" w:pos="567"/>
        </w:tabs>
        <w:spacing w:after="60" w:line="240" w:lineRule="auto"/>
        <w:ind w:right="-23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r>
        <w:rPr>
          <w:rFonts w:ascii="Muller Light" w:eastAsia="Times New Roman" w:hAnsi="Muller Light" w:cs="Courier New"/>
          <w:snapToGrid w:val="0"/>
          <w:sz w:val="24"/>
          <w:szCs w:val="24"/>
        </w:rPr>
        <w:tab/>
        <w:t xml:space="preserve">АО «ТРИНФИКО» </w:t>
      </w:r>
      <w:r w:rsidRPr="00933BD9">
        <w:rPr>
          <w:rFonts w:ascii="Muller Light" w:eastAsia="Times New Roman" w:hAnsi="Muller Light" w:cs="Courier New"/>
          <w:snapToGrid w:val="0"/>
          <w:sz w:val="24"/>
          <w:szCs w:val="24"/>
        </w:rPr>
        <w:t>отказывает в рассмотрении обращения (жалобы) заявителя по существу в следующих случаях:</w:t>
      </w:r>
    </w:p>
    <w:p w:rsidR="00D25FD8" w:rsidRPr="00D25FD8" w:rsidRDefault="00D25FD8" w:rsidP="00D25FD8">
      <w:pPr>
        <w:pStyle w:val="ConsPlusNormal"/>
        <w:spacing w:before="220"/>
        <w:ind w:firstLine="540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r>
        <w:t xml:space="preserve">1) </w:t>
      </w: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>в обращении не указан адрес, по которому должен быть направлен ответ;</w:t>
      </w:r>
    </w:p>
    <w:p w:rsidR="00D25FD8" w:rsidRPr="00D25FD8" w:rsidRDefault="00D25FD8" w:rsidP="00D25FD8">
      <w:pPr>
        <w:pStyle w:val="ConsPlusNormal"/>
        <w:spacing w:before="220"/>
        <w:ind w:firstLine="540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>2) в обращении не указана фамилия (наименование) заявителя;</w:t>
      </w:r>
    </w:p>
    <w:p w:rsidR="00D25FD8" w:rsidRDefault="00D25FD8" w:rsidP="00D25FD8">
      <w:pPr>
        <w:pStyle w:val="ConsPlusNormal"/>
        <w:spacing w:before="220"/>
        <w:ind w:firstLine="540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 xml:space="preserve">3) в обращении содержатся нецензурные либо оскорбительные выражения, угрозы имуществу </w:t>
      </w:r>
      <w:r>
        <w:rPr>
          <w:rFonts w:ascii="Muller Light" w:eastAsia="Times New Roman" w:hAnsi="Muller Light" w:cs="Courier New"/>
          <w:snapToGrid w:val="0"/>
          <w:sz w:val="24"/>
          <w:szCs w:val="24"/>
        </w:rPr>
        <w:t>АО «ТРИНФИКО»</w:t>
      </w:r>
      <w:r w:rsidRPr="00933BD9">
        <w:rPr>
          <w:rFonts w:ascii="Muller Light" w:eastAsia="Times New Roman" w:hAnsi="Muller Light" w:cs="Courier New"/>
          <w:snapToGrid w:val="0"/>
          <w:sz w:val="24"/>
          <w:szCs w:val="24"/>
        </w:rPr>
        <w:t xml:space="preserve">, имуществу, жизни и (или) здоровью работников </w:t>
      </w:r>
      <w:r>
        <w:rPr>
          <w:rFonts w:ascii="Muller Light" w:eastAsia="Times New Roman" w:hAnsi="Muller Light" w:cs="Courier New"/>
          <w:snapToGrid w:val="0"/>
          <w:sz w:val="24"/>
          <w:szCs w:val="24"/>
        </w:rPr>
        <w:t>АО «ТРИНФИКО»</w:t>
      </w:r>
      <w:r w:rsidRPr="00933BD9">
        <w:rPr>
          <w:rFonts w:ascii="Muller Light" w:eastAsia="Times New Roman" w:hAnsi="Muller Light" w:cs="Courier New"/>
          <w:snapToGrid w:val="0"/>
          <w:sz w:val="24"/>
          <w:szCs w:val="24"/>
        </w:rPr>
        <w:t>, а также членов их семей;</w:t>
      </w:r>
    </w:p>
    <w:p w:rsidR="00D25FD8" w:rsidRPr="00D25FD8" w:rsidRDefault="00D25FD8" w:rsidP="00D25FD8">
      <w:pPr>
        <w:pStyle w:val="ConsPlusNormal"/>
        <w:spacing w:before="220"/>
        <w:ind w:firstLine="540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>4) текст обращения не поддается прочтению;</w:t>
      </w:r>
    </w:p>
    <w:p w:rsidR="00D25FD8" w:rsidRPr="00D25FD8" w:rsidRDefault="00D25FD8" w:rsidP="00D25FD8">
      <w:pPr>
        <w:pStyle w:val="ConsPlusNormal"/>
        <w:spacing w:before="220"/>
        <w:ind w:firstLine="540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>5) текст обращения не позволяет определить его суть.</w:t>
      </w:r>
    </w:p>
    <w:p w:rsidR="00D25FD8" w:rsidRDefault="00D25FD8" w:rsidP="00D25FD8">
      <w:pPr>
        <w:pStyle w:val="ConsPlusNormal"/>
        <w:spacing w:before="220"/>
        <w:ind w:firstLine="540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>В случаях, предусмотренными пунктами</w:t>
      </w:r>
      <w:r w:rsidR="00155800">
        <w:rPr>
          <w:rFonts w:ascii="Muller Light" w:eastAsia="Times New Roman" w:hAnsi="Muller Light" w:cs="Courier New"/>
          <w:snapToGrid w:val="0"/>
          <w:sz w:val="24"/>
          <w:szCs w:val="24"/>
        </w:rPr>
        <w:t xml:space="preserve"> 2 – 5, принятия АО «ТРИНФИКО» </w:t>
      </w: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>решения об оставлении обращения без ответа по существу, заявителю направляе</w:t>
      </w:r>
      <w:r w:rsidR="0094773F">
        <w:rPr>
          <w:rFonts w:ascii="Muller Light" w:eastAsia="Times New Roman" w:hAnsi="Muller Light" w:cs="Courier New"/>
          <w:snapToGrid w:val="0"/>
          <w:sz w:val="24"/>
          <w:szCs w:val="24"/>
        </w:rPr>
        <w:t xml:space="preserve">тся уведомление об этом решении </w:t>
      </w:r>
      <w:r w:rsidRPr="00D25FD8">
        <w:rPr>
          <w:rFonts w:ascii="Muller Light" w:eastAsia="Times New Roman" w:hAnsi="Muller Light" w:cs="Courier New"/>
          <w:snapToGrid w:val="0"/>
          <w:sz w:val="24"/>
          <w:szCs w:val="24"/>
        </w:rPr>
        <w:t>в течение пяти рабочих дне</w:t>
      </w:r>
      <w:r w:rsidR="0094773F">
        <w:rPr>
          <w:rFonts w:ascii="Muller Light" w:eastAsia="Times New Roman" w:hAnsi="Muller Light" w:cs="Courier New"/>
          <w:snapToGrid w:val="0"/>
          <w:sz w:val="24"/>
          <w:szCs w:val="24"/>
        </w:rPr>
        <w:t>й со дня регистрации обращения.</w:t>
      </w:r>
    </w:p>
    <w:p w:rsidR="0072039C" w:rsidRPr="00933BD9" w:rsidRDefault="0072039C" w:rsidP="0072039C">
      <w:pPr>
        <w:tabs>
          <w:tab w:val="left" w:pos="567"/>
        </w:tabs>
        <w:spacing w:line="240" w:lineRule="auto"/>
        <w:ind w:right="-23"/>
        <w:jc w:val="both"/>
        <w:rPr>
          <w:rFonts w:ascii="Muller Light" w:eastAsia="Times New Roman" w:hAnsi="Muller Light" w:cs="Courier New"/>
          <w:snapToGrid w:val="0"/>
          <w:sz w:val="24"/>
          <w:szCs w:val="24"/>
        </w:rPr>
      </w:pPr>
      <w:bookmarkStart w:id="0" w:name="_GoBack"/>
      <w:bookmarkEnd w:id="0"/>
    </w:p>
    <w:sectPr w:rsidR="0072039C" w:rsidRPr="0093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ller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PWFI+___WRD_EMBED_SUB_272">
    <w:altName w:val="Times New Roman"/>
    <w:charset w:val="01"/>
    <w:family w:val="auto"/>
    <w:pitch w:val="variable"/>
    <w:sig w:usb0="00000001" w:usb1="5000604B" w:usb2="00000000" w:usb3="00000000" w:csb0="2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A59"/>
    <w:multiLevelType w:val="hybridMultilevel"/>
    <w:tmpl w:val="782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546"/>
    <w:multiLevelType w:val="hybridMultilevel"/>
    <w:tmpl w:val="2F38FE4E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CA"/>
    <w:rsid w:val="00076494"/>
    <w:rsid w:val="00155800"/>
    <w:rsid w:val="00192EFE"/>
    <w:rsid w:val="002C58AC"/>
    <w:rsid w:val="003C4A96"/>
    <w:rsid w:val="004E58CF"/>
    <w:rsid w:val="00566239"/>
    <w:rsid w:val="005B1DCA"/>
    <w:rsid w:val="00700852"/>
    <w:rsid w:val="00716CC5"/>
    <w:rsid w:val="0072039C"/>
    <w:rsid w:val="007533D9"/>
    <w:rsid w:val="00786CBB"/>
    <w:rsid w:val="008E0EAB"/>
    <w:rsid w:val="00901AA2"/>
    <w:rsid w:val="00933BD9"/>
    <w:rsid w:val="0094773F"/>
    <w:rsid w:val="00B45532"/>
    <w:rsid w:val="00B84A52"/>
    <w:rsid w:val="00BE528F"/>
    <w:rsid w:val="00BF1A23"/>
    <w:rsid w:val="00C26BCF"/>
    <w:rsid w:val="00C732DA"/>
    <w:rsid w:val="00CB4A33"/>
    <w:rsid w:val="00CB54F3"/>
    <w:rsid w:val="00CC46B9"/>
    <w:rsid w:val="00D25FD8"/>
    <w:rsid w:val="00E7285A"/>
    <w:rsid w:val="00E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FC583"/>
  <w15:chartTrackingRefBased/>
  <w15:docId w15:val="{B2960419-FF7A-4067-A723-58B5C297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C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A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A23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25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Chertovich Dmitriy</dc:creator>
  <cp:keywords/>
  <dc:description/>
  <cp:lastModifiedBy>Alimova Venera</cp:lastModifiedBy>
  <cp:revision>4</cp:revision>
  <cp:lastPrinted>2024-03-26T07:19:00Z</cp:lastPrinted>
  <dcterms:created xsi:type="dcterms:W3CDTF">2024-05-29T12:32:00Z</dcterms:created>
  <dcterms:modified xsi:type="dcterms:W3CDTF">2024-06-28T19:09:00Z</dcterms:modified>
</cp:coreProperties>
</file>